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aniel-11"/>
    <w:p>
      <w:pPr>
        <w:pStyle w:val="Heading1"/>
      </w:pPr>
      <w:r>
        <w:t xml:space="preserve">Homiletics Analysis: Daniel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Daniel 11 is the most detailed predictive prophecy in the entire Bible. It arrives as the third and culminating vision of the book (chapters 10–12 form one unit, with chapter 10 providing the visionary setting, chapter 11 the prophetic content, and chapter 12 the eschatological conclusion). The chapter moves in three major movements: verses 1–4 describe the rise and collapse of the Persian and Greek empires, with particular attention to Alexander the Great and the fracturing of his kingdom among four generals; verses 5–35 trace with remarkable precision the geopolitical conflict between the Ptolemaic kingdom of Egypt (the</w:t>
      </w:r>
      <w:r>
        <w:t xml:space="preserve"> </w:t>
      </w:r>
      <w:r>
        <w:t xml:space="preserve">“king of the South”</w:t>
      </w:r>
      <w:r>
        <w:t xml:space="preserve">) and the Seleucid kingdom of Syria (the</w:t>
      </w:r>
      <w:r>
        <w:t xml:space="preserve"> </w:t>
      </w:r>
      <w:r>
        <w:t xml:space="preserve">“king of the North”</w:t>
      </w:r>
      <w:r>
        <w:t xml:space="preserve">), climaxing in the campaigns of Antiochus IV Epiphanes, his desecration of the Jerusalem temple, and his persecution of the covenant people; verses 36–45 shift to a figure whose career exceeds anything historically accomplished by Antiochus and whose final end comes supernaturally at the appointed time, pointing — in the Reformed and most evangelical readings — to an eschatological antichrist figure, with Antiochus functioning as type and shadow.</w:t>
      </w:r>
    </w:p>
    <w:p>
      <w:pPr>
        <w:pStyle w:val="BodyText"/>
      </w:pPr>
      <w:r>
        <w:t xml:space="preserve">The chapter is relentlessly historical in form. It reads not like a symbol-laden apocalyptic vision but like a military-political dispatch, tracing alliances, betrayals, marriages, invasions, and reversals with the precision of a historian writing after the events — which is precisely why liberal scholarship has consistently dated the book to the Maccabean era (165–164 BC) rather than the sixth century BC. The chapter is simultaneously an act of divine knowledge, a pastoral provision for the suffering covenant community, and an eschatological anchor for God’s people in every age who face powers that appear utterly sovereign and uncontrollable.</w:t>
      </w:r>
    </w:p>
    <w:p>
      <w:pPr>
        <w:pStyle w:val="BodyText"/>
      </w:pPr>
      <w:r>
        <w:rPr>
          <w:b/>
          <w:bCs/>
        </w:rPr>
        <w:t xml:space="preserve">This Text — Intent</w:t>
      </w:r>
    </w:p>
    <w:p>
      <w:pPr>
        <w:pStyle w:val="BodyText"/>
      </w:pPr>
      <w:r>
        <w:t xml:space="preserve">God’s intent through Daniel 11 is to establish an unbreakable confidence in divine sovereignty over every human power — by demonstrating, in advance, that He knows the precise movements of every king, army, and political intrigue before they occur. The chapter is not a history lesson. It is a pastoral act of grace toward a people who will face powers that appear to be gods. The intent is that God’s people would neither be surprised by suffering and persecution, nor abandoned to despair within it, nor tempted to make peace with the powers that oppose the living God — because they know from this chapter that the King of the North answers to the King of Heaven, and that</w:t>
      </w:r>
      <w:r>
        <w:t xml:space="preserve"> </w:t>
      </w:r>
      <w:r>
        <w:t xml:space="preserve">“the appointed time”</w:t>
      </w:r>
      <w:r>
        <w:t xml:space="preserve"> </w:t>
      </w:r>
      <w:r>
        <w:t xml:space="preserve">belongs entirely to God (vv. 27, 29, 35). The suffering God foreknew, the outcome God has fixed, and the endurance required is therefore possible because it is grounded in revealed certainty, not blind hope.</w:t>
      </w:r>
    </w:p>
    <w:p>
      <w:r>
        <w:pict>
          <v:rect style="width:0;height:1.5pt" o:hralign="center" o:hrstd="t" o:hr="t"/>
        </w:pict>
      </w:r>
    </w:p>
    <w:p>
      <w:pPr>
        <w:pStyle w:val="FirstParagraph"/>
      </w:pPr>
      <w:r>
        <w:rPr>
          <w:b/>
          <w:bCs/>
        </w:rPr>
        <w:t xml:space="preserve">Subject Sentence:</w:t>
      </w:r>
      <w:r>
        <w:t xml:space="preserve"> </w:t>
      </w:r>
      <w:r>
        <w:t xml:space="preserve">God displays sovereign foreknowledge of every earthly power to anchor His people against every threat.</w:t>
      </w:r>
    </w:p>
    <w:p>
      <w:r>
        <w:pict>
          <v:rect style="width:0;height:1.5pt" o:hralign="center" o:hrstd="t" o:hr="t"/>
        </w:pict>
      </w:r>
    </w:p>
    <w:p>
      <w:pPr>
        <w:pStyle w:val="FirstParagraph"/>
      </w:pPr>
      <w:r>
        <w:rPr>
          <w:b/>
          <w:bCs/>
        </w:rPr>
        <w:t xml:space="preserve">Primary Claim:</w:t>
      </w:r>
      <w:r>
        <w:t xml:space="preserve"> </w:t>
      </w:r>
      <w:r>
        <w:t xml:space="preserve">The meticulous divine foreknowledge displayed in Daniel 11 is not apologetic evidence for a curious reader — it is pastoral provision for a suffering people: God has already narrated the rise and fall of every power that will come against His people, so that when those powers arrive in their full terror, His people will not be moved.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Question — Verses 36–45</w:t>
      </w:r>
    </w:p>
    <w:p>
      <w:pPr>
        <w:pStyle w:val="BodyText"/>
      </w:pPr>
      <w:r>
        <w:t xml:space="preserve">The most significant interpretive division in Daniel 11 concerns the identity of the figure described in verses 36–45. Three positions dominate the discussion:</w:t>
      </w:r>
    </w:p>
    <w:p>
      <w:pPr>
        <w:pStyle w:val="BodyText"/>
      </w:pPr>
      <w:r>
        <w:rPr>
          <w:b/>
          <w:bCs/>
        </w:rPr>
        <w:t xml:space="preserve">(1) Entirely Antiochus IV Epiphanes (Critical/Liberal Reading)</w:t>
      </w:r>
    </w:p>
    <w:p>
      <w:pPr>
        <w:pStyle w:val="BodyText"/>
      </w:pPr>
      <w:r>
        <w:t xml:space="preserve">Liberal scholarship, committed to a Maccabean date for Daniel, reads the entire chapter as describing historical figures up to and including Antiochus, with verses 36–45 presenting a failed or symbolically concluded Antiochean campaign. On this reading, the</w:t>
      </w:r>
      <w:r>
        <w:t xml:space="preserve"> </w:t>
      </w:r>
      <w:r>
        <w:t xml:space="preserve">“King who does as he wills”</w:t>
      </w:r>
      <w:r>
        <w:t xml:space="preserve"> </w:t>
      </w:r>
      <w:r>
        <w:t xml:space="preserve">in verse 36 is simply Antiochus in the final phase of his career, and the details that seem not to match the historical record are attributed to the author’s limited knowledge or intentional symbolism. This reading</w:t>
      </w:r>
      <w:r>
        <w:t xml:space="preserve"> </w:t>
      </w:r>
      <w:r>
        <w:rPr>
          <w:i/>
          <w:iCs/>
        </w:rPr>
        <w:t xml:space="preserve">refutes</w:t>
      </w:r>
      <w:r>
        <w:t xml:space="preserve"> </w:t>
      </w:r>
      <w:r>
        <w:t xml:space="preserve">itself against the text: the specific details of verses 36–45 demonstrably exceed anything Antiochus accomplished historically — he did not</w:t>
      </w:r>
      <w:r>
        <w:t xml:space="preserve"> </w:t>
      </w:r>
      <w:r>
        <w:t xml:space="preserve">“prosper”</w:t>
      </w:r>
      <w:r>
        <w:t xml:space="preserve"> </w:t>
      </w:r>
      <w:r>
        <w:t xml:space="preserve">until his end (v. 36), his death did not occur between the sea and the</w:t>
      </w:r>
      <w:r>
        <w:t xml:space="preserve"> </w:t>
      </w:r>
      <w:r>
        <w:t xml:space="preserve">“glorious holy mountain”</w:t>
      </w:r>
      <w:r>
        <w:t xml:space="preserve"> </w:t>
      </w:r>
      <w:r>
        <w:t xml:space="preserve">(v. 45), and verses 40–45 describe a final campaign whose details match no known Antiochean military movement. The position is driven by an a priori rejection of predictive prophecy, not by superior exegesis.</w:t>
      </w:r>
    </w:p>
    <w:p>
      <w:pPr>
        <w:pStyle w:val="BodyText"/>
      </w:pPr>
      <w:r>
        <w:rPr>
          <w:b/>
          <w:bCs/>
        </w:rPr>
        <w:t xml:space="preserve">(2) Seamless Reference to Antiochus Throughout (Conservative Historicist Reading)</w:t>
      </w:r>
    </w:p>
    <w:p>
      <w:pPr>
        <w:pStyle w:val="BodyText"/>
      </w:pPr>
      <w:r>
        <w:t xml:space="preserve">Some conservative interpreters attempt to read verses 36–45 as still describing Antiochus, acknowledging that some details seem unfulfilled but attributing this to eschatological telescoping or symbolic completion. This reading</w:t>
      </w:r>
      <w:r>
        <w:t xml:space="preserve"> </w:t>
      </w:r>
      <w:r>
        <w:rPr>
          <w:i/>
          <w:iCs/>
        </w:rPr>
        <w:t xml:space="preserve">qualifies</w:t>
      </w:r>
      <w:r>
        <w:t xml:space="preserve">: it rightly resists the liberal dating of Daniel and affirms genuine predictive prophecy, but it strains against the textual evidence that something has shifted in the passage. The phrase</w:t>
      </w:r>
      <w:r>
        <w:t xml:space="preserve"> </w:t>
      </w:r>
      <w:r>
        <w:t xml:space="preserve">“at the appointed time”</w:t>
      </w:r>
      <w:r>
        <w:t xml:space="preserve"> </w:t>
      </w:r>
      <w:r>
        <w:t xml:space="preserve">(v. 40) and the final supernatural end of verse 45 cohere far more naturally with the eschatological conclusion in chapter 12 than with the historical Antiochus, who died in Persia in 164 BC.</w:t>
      </w:r>
    </w:p>
    <w:p>
      <w:pPr>
        <w:pStyle w:val="BodyText"/>
      </w:pPr>
      <w:r>
        <w:rPr>
          <w:b/>
          <w:bCs/>
        </w:rPr>
        <w:t xml:space="preserve">(3) Typological Transition — Antiochus as Type, Eschatological Antichrist as Antitype (Reformed/Evangelical Reading)</w:t>
      </w:r>
    </w:p>
    <w:p>
      <w:pPr>
        <w:pStyle w:val="BodyText"/>
      </w:pPr>
      <w:r>
        <w:t xml:space="preserve">The Reformed reading, shared broadly among evangelical scholars (Sinclair Ferguson, Tremper Longman III, Dale Davis, Stephen Miller), understands Daniel 11 as a typological movement: the historical Antiochus, whose career is traced in verses 21–35, functions as the paradigmatic type of the final enemy of God’s people. Verse 36 represents a transition point — not an abrupt break, but a typological escalation — toward an end-time figure whose career fulfills what Antiochus only foreshadowed. This reading is preferred because: it accounts for the textual details that exceed Antiochus’s historical career; it is consistent with how other prophets use historical figures typologically (Isaiah uses Babylon and Assyria; Ezekiel uses Tyre; John uses Nero); it connects organically to Daniel 12:1–3 and its resurrection language; and it is confirmed by New Testament usage (the</w:t>
      </w:r>
      <w:r>
        <w:t xml:space="preserve"> </w:t>
      </w:r>
      <w:r>
        <w:t xml:space="preserve">“abomination of desolation”</w:t>
      </w:r>
      <w:r>
        <w:t xml:space="preserve"> </w:t>
      </w:r>
      <w:r>
        <w:t xml:space="preserve">in Matthew 24:15 points forward past Antiochus, even after the Maccabean crisis, to a future fulfillment). This reading</w:t>
      </w:r>
      <w:r>
        <w:t xml:space="preserve"> </w:t>
      </w:r>
      <w:r>
        <w:rPr>
          <w:i/>
          <w:iCs/>
        </w:rPr>
        <w:t xml:space="preserve">acknowledges</w:t>
      </w:r>
      <w:r>
        <w:t xml:space="preserve"> </w:t>
      </w:r>
      <w:r>
        <w:t xml:space="preserve">the historicist contribution: Antiochus is not merely a cipher — his specific cruelties and his specific desecration of the temple are real events the chapter addresses. The typology does not eliminate the historical referent; it builds upon it.</w:t>
      </w:r>
    </w:p>
    <w:p>
      <w:pPr>
        <w:pStyle w:val="BodyText"/>
      </w:pPr>
      <w:r>
        <w:rPr>
          <w:b/>
          <w:bCs/>
        </w:rPr>
        <w:t xml:space="preserve">The Historical Precision of Verses 1–35 — Apologetic Value and Homiletical Caution</w:t>
      </w:r>
    </w:p>
    <w:p>
      <w:pPr>
        <w:pStyle w:val="BodyText"/>
      </w:pPr>
      <w:r>
        <w:t xml:space="preserve">The historical precision of Daniel 11:1–35 is among the most powerful evidential arguments for the divine inspiration of Scripture. The details matching identifiable historical events — the four Persian kings (v. 2), Alexander’s swift campaign and death (vv. 3–4), the division of his kingdom (v. 4), the Ptolemaic-Seleucid conflicts (vv. 5–20), and the specific career of Antiochus IV including his desecration of the temple (vv. 21–35) — are so precise that critical scholars must deny predictive prophecy to maintain a late date. This constitutes a</w:t>
      </w:r>
      <w:r>
        <w:t xml:space="preserve"> </w:t>
      </w:r>
      <w:r>
        <w:rPr>
          <w:i/>
          <w:iCs/>
        </w:rPr>
        <w:t xml:space="preserve">refutation</w:t>
      </w:r>
      <w:r>
        <w:t xml:space="preserve"> </w:t>
      </w:r>
      <w:r>
        <w:t xml:space="preserve">of the liberal historicist position and an</w:t>
      </w:r>
      <w:r>
        <w:t xml:space="preserve"> </w:t>
      </w:r>
      <w:r>
        <w:rPr>
          <w:i/>
          <w:iCs/>
        </w:rPr>
        <w:t xml:space="preserve">acknowledgment</w:t>
      </w:r>
      <w:r>
        <w:t xml:space="preserve"> </w:t>
      </w:r>
      <w:r>
        <w:t xml:space="preserve">that the apologetic value of this chapter is genuinely significant. However, a homiletical caution applies: reducing Daniel 11 to an apologetics exercise misses God’s pastoral intent. The detailed foreknowledge is</w:t>
      </w:r>
      <w:r>
        <w:t xml:space="preserve"> </w:t>
      </w:r>
      <w:r>
        <w:rPr>
          <w:i/>
          <w:iCs/>
        </w:rPr>
        <w:t xml:space="preserve">for</w:t>
      </w:r>
      <w:r>
        <w:t xml:space="preserve"> </w:t>
      </w:r>
      <w:r>
        <w:t xml:space="preserve">the suffering people, not primarily</w:t>
      </w:r>
      <w:r>
        <w:t xml:space="preserve"> </w:t>
      </w:r>
      <w:r>
        <w:rPr>
          <w:i/>
          <w:iCs/>
        </w:rPr>
        <w:t xml:space="preserve">for</w:t>
      </w:r>
      <w:r>
        <w:t xml:space="preserve"> </w:t>
      </w:r>
      <w:r>
        <w:t xml:space="preserve">the skeptical critic. The preacher should use the apologetic value to establish confidence in God’s knowledge, then move immediately to its pastoral and doxological implications.</w:t>
      </w:r>
    </w:p>
    <w:p>
      <w:pPr>
        <w:pStyle w:val="BodyText"/>
      </w:pPr>
      <w:r>
        <w:rPr>
          <w:b/>
          <w:bCs/>
        </w:rPr>
        <w:t xml:space="preserve">Wesleyan/Arminian and Baptist Readings</w:t>
      </w:r>
    </w:p>
    <w:p>
      <w:pPr>
        <w:pStyle w:val="BodyText"/>
      </w:pPr>
      <w:r>
        <w:t xml:space="preserve">These traditions generally accept the Reformed exegetical framework for Daniel 11 and do not significantly diverge on the text itself. Their characteristic emphases (human responsibility, faithful endurance, discipleship under pressure) do find genuine traction in the passage, particularly in verses 32–35, which highlight both the</w:t>
      </w:r>
      <w:r>
        <w:t xml:space="preserve"> </w:t>
      </w:r>
      <w:r>
        <w:t xml:space="preserve">“little help”</w:t>
      </w:r>
      <w:r>
        <w:t xml:space="preserve"> </w:t>
      </w:r>
      <w:r>
        <w:t xml:space="preserve">of the Maccabean resistance and the suffering of the</w:t>
      </w:r>
      <w:r>
        <w:t xml:space="preserve"> </w:t>
      </w:r>
      <w:r>
        <w:t xml:space="preserve">“wise”</w:t>
      </w:r>
      <w:r>
        <w:t xml:space="preserve"> </w:t>
      </w:r>
      <w:r>
        <w:t xml:space="preserve">who</w:t>
      </w:r>
      <w:r>
        <w:t xml:space="preserve"> </w:t>
      </w:r>
      <w:r>
        <w:t xml:space="preserve">“make many understand.”</w:t>
      </w:r>
      <w:r>
        <w:t xml:space="preserve"> </w:t>
      </w:r>
      <w:r>
        <w:t xml:space="preserve">These verses do commend faithful witness under pressure — a genuine</w:t>
      </w:r>
      <w:r>
        <w:t xml:space="preserve"> </w:t>
      </w:r>
      <w:r>
        <w:rPr>
          <w:i/>
          <w:iCs/>
        </w:rPr>
        <w:t xml:space="preserve">acknowledgment</w:t>
      </w:r>
      <w:r>
        <w:t xml:space="preserve"> </w:t>
      </w:r>
      <w:r>
        <w:t xml:space="preserve">of the Baptist/Wesleyan emphasis — but this application must be grounded in divine sovereignty (the suffering occurs</w:t>
      </w:r>
      <w:r>
        <w:t xml:space="preserve"> </w:t>
      </w:r>
      <w:r>
        <w:t xml:space="preserve">“to refine and purify,”</w:t>
      </w:r>
      <w:r>
        <w:t xml:space="preserve"> </w:t>
      </w:r>
      <w:r>
        <w:t xml:space="preserve">v. 35, for an</w:t>
      </w:r>
      <w:r>
        <w:t xml:space="preserve"> </w:t>
      </w:r>
      <w:r>
        <w:t xml:space="preserve">“appointed time”</w:t>
      </w:r>
      <w:r>
        <w:t xml:space="preserve">) rather than presented as bare moral heroism.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Daniel 7:23–27</w:t>
      </w:r>
      <w:r>
        <w:t xml:space="preserve"> </w:t>
      </w:r>
      <w:r>
        <w:t xml:space="preserve">— The fourth beast and the</w:t>
      </w:r>
      <w:r>
        <w:t xml:space="preserve"> </w:t>
      </w:r>
      <w:r>
        <w:t xml:space="preserve">“little horn”</w:t>
      </w:r>
      <w:r>
        <w:t xml:space="preserve"> </w:t>
      </w:r>
      <w:r>
        <w:t xml:space="preserve">provide the same typological framework in symbolic form: an arrogant, temple-desecrating, persecution-inflicting power that appears sovereign until the Ancient of Days gives judgment; Daniel 11 fills in the historical texture of what Daniel 7 renders in apocalyptic symbol.</w:t>
      </w:r>
    </w:p>
    <w:p>
      <w:pPr>
        <w:numPr>
          <w:ilvl w:val="0"/>
          <w:numId w:val="1001"/>
        </w:numPr>
      </w:pPr>
      <w:r>
        <w:rPr>
          <w:b/>
          <w:bCs/>
        </w:rPr>
        <w:t xml:space="preserve">Matthew 24:15–22</w:t>
      </w:r>
      <w:r>
        <w:t xml:space="preserve"> </w:t>
      </w:r>
      <w:r>
        <w:t xml:space="preserve">— Christ’s citation of</w:t>
      </w:r>
      <w:r>
        <w:t xml:space="preserve"> </w:t>
      </w:r>
      <w:r>
        <w:t xml:space="preserve">“the abomination of desolation spoken of by Daniel the prophet”</w:t>
      </w:r>
      <w:r>
        <w:t xml:space="preserve"> </w:t>
      </w:r>
      <w:r>
        <w:t xml:space="preserve">confirms that Daniel 11:31/12:11 has a future fulfillment beyond the Maccabean crisis, establishing the typological reading of Daniel 11:36–45 and grounding the eschatological transition at verse 36.</w:t>
      </w:r>
    </w:p>
    <w:p>
      <w:pPr>
        <w:numPr>
          <w:ilvl w:val="0"/>
          <w:numId w:val="1001"/>
        </w:numPr>
      </w:pPr>
      <w:r>
        <w:rPr>
          <w:b/>
          <w:bCs/>
        </w:rPr>
        <w:t xml:space="preserve">2 Thessalonians 2:3–12</w:t>
      </w:r>
      <w:r>
        <w:t xml:space="preserve"> </w:t>
      </w:r>
      <w:r>
        <w:t xml:space="preserve">— Paul’s description of</w:t>
      </w:r>
      <w:r>
        <w:t xml:space="preserve"> </w:t>
      </w:r>
      <w:r>
        <w:t xml:space="preserve">“the man of lawlessness”</w:t>
      </w:r>
      <w:r>
        <w:t xml:space="preserve"> </w:t>
      </w:r>
      <w:r>
        <w:t xml:space="preserve">who</w:t>
      </w:r>
      <w:r>
        <w:t xml:space="preserve"> </w:t>
      </w:r>
      <w:r>
        <w:t xml:space="preserve">“exalts himself over every so-called god”</w:t>
      </w:r>
      <w:r>
        <w:t xml:space="preserve"> </w:t>
      </w:r>
      <w:r>
        <w:t xml:space="preserve">and</w:t>
      </w:r>
      <w:r>
        <w:t xml:space="preserve"> </w:t>
      </w:r>
      <w:r>
        <w:t xml:space="preserve">“takes his seat in the temple of God”</w:t>
      </w:r>
      <w:r>
        <w:t xml:space="preserve"> </w:t>
      </w:r>
      <w:r>
        <w:t xml:space="preserve">is drawn directly from Daniel 11:36–37, confirming that the</w:t>
      </w:r>
      <w:r>
        <w:t xml:space="preserve"> </w:t>
      </w:r>
      <w:r>
        <w:t xml:space="preserve">“King who does as he wills”</w:t>
      </w:r>
      <w:r>
        <w:t xml:space="preserve"> </w:t>
      </w:r>
      <w:r>
        <w:t xml:space="preserve">reaches forward to an eschatological fulfillment; Paul’s pastoral intent (steadfastness, not panic) mirrors Daniel’s pastoral intent precisely.</w:t>
      </w:r>
    </w:p>
    <w:p>
      <w:pPr>
        <w:numPr>
          <w:ilvl w:val="0"/>
          <w:numId w:val="1001"/>
        </w:numPr>
      </w:pPr>
      <w:r>
        <w:rPr>
          <w:b/>
          <w:bCs/>
        </w:rPr>
        <w:t xml:space="preserve">Revelation 13:1–10</w:t>
      </w:r>
      <w:r>
        <w:t xml:space="preserve"> </w:t>
      </w:r>
      <w:r>
        <w:t xml:space="preserve">— John’s vision of the beast who exercises authority, makes war on the saints, and is given</w:t>
      </w:r>
      <w:r>
        <w:t xml:space="preserve"> </w:t>
      </w:r>
      <w:r>
        <w:t xml:space="preserve">“authority for forty-two months”</w:t>
      </w:r>
      <w:r>
        <w:t xml:space="preserve"> </w:t>
      </w:r>
      <w:r>
        <w:t xml:space="preserve">continues the Daniel 11 typological chain; the limitation on the beast’s authority (the time is fixed) mirrors Daniel 11:27, 29, 35, and 45.</w:t>
      </w:r>
    </w:p>
    <w:p>
      <w:pPr>
        <w:numPr>
          <w:ilvl w:val="0"/>
          <w:numId w:val="1001"/>
        </w:numPr>
      </w:pPr>
      <w:r>
        <w:rPr>
          <w:b/>
          <w:bCs/>
        </w:rPr>
        <w:t xml:space="preserve">Isaiah 46:9–11</w:t>
      </w:r>
      <w:r>
        <w:t xml:space="preserve"> </w:t>
      </w:r>
      <w:r>
        <w:t xml:space="preserve">— God’s declaration that He announces</w:t>
      </w:r>
      <w:r>
        <w:t xml:space="preserve"> </w:t>
      </w:r>
      <w:r>
        <w:t xml:space="preserve">“the end from the beginning”</w:t>
      </w:r>
      <w:r>
        <w:t xml:space="preserve"> </w:t>
      </w:r>
      <w:r>
        <w:t xml:space="preserve">and that His purpose will stand is the theological ground beneath Daniel 11’s extraordinary detail; Daniel 11 does not merely demonstrate a supernatural gift — it displays the God who governs history as its Author, not merely its Observer.</w:t>
      </w:r>
    </w:p>
    <w:p>
      <w:r>
        <w:pict>
          <v:rect style="width:0;height:1.5pt" o:hralign="center" o:hrstd="t" o:hr="t"/>
        </w:pict>
      </w:r>
    </w:p>
    <w:p>
      <w:pPr>
        <w:pStyle w:val="FirstParagraph"/>
      </w:pPr>
      <w:r>
        <w:rPr>
          <w:b/>
          <w:bCs/>
        </w:rPr>
        <w:t xml:space="preserve">Aim:</w:t>
      </w:r>
      <w:r>
        <w:t xml:space="preserve"> </w:t>
      </w:r>
      <w:r>
        <w:t xml:space="preserve">To establish in the reader a confident, unshakeable trust in God’s absolute sovereignty over every historical and eschatological power, so that suffering and opposition are met not with despair or compromise but with endurance grounded in revealed certainty.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11:1</w:t>
            </w:r>
          </w:p>
        </w:tc>
        <w:tc>
          <w:tcPr/>
          <w:p>
            <w:pPr>
              <w:pStyle w:val="Compact"/>
            </w:pPr>
            <w:r>
              <w:t xml:space="preserve">The angel (Gabriel) strengthens Darius the Mede in his first year</w:t>
            </w:r>
          </w:p>
        </w:tc>
        <w:tc>
          <w:tcPr/>
          <w:p>
            <w:pPr>
              <w:pStyle w:val="Compact"/>
            </w:pPr>
            <w:r>
              <w:t xml:space="preserve">Transitional verse connecting to chapters 10–12 unit</w:t>
            </w:r>
          </w:p>
        </w:tc>
      </w:tr>
      <w:tr>
        <w:tc>
          <w:tcPr/>
          <w:p>
            <w:pPr>
              <w:pStyle w:val="Compact"/>
            </w:pPr>
            <w:r>
              <w:t xml:space="preserve">11:2</w:t>
            </w:r>
          </w:p>
        </w:tc>
        <w:tc>
          <w:tcPr/>
          <w:p>
            <w:pPr>
              <w:pStyle w:val="Compact"/>
            </w:pPr>
            <w:r>
              <w:t xml:space="preserve">Three more Persian kings, then a fourth, exceedingly rich, who stirs up all against Greece</w:t>
            </w:r>
          </w:p>
        </w:tc>
        <w:tc>
          <w:tcPr/>
          <w:p>
            <w:pPr>
              <w:pStyle w:val="Compact"/>
            </w:pPr>
            <w:r>
              <w:t xml:space="preserve">Likely Cambyses, Smerdis/Bardiya, Darius I; fourth is Xerxes I (cf. Ahasuerus of Esther)</w:t>
            </w:r>
          </w:p>
        </w:tc>
      </w:tr>
      <w:tr>
        <w:tc>
          <w:tcPr/>
          <w:p>
            <w:pPr>
              <w:pStyle w:val="Compact"/>
            </w:pPr>
            <w:r>
              <w:t xml:space="preserve">11:3</w:t>
            </w:r>
          </w:p>
        </w:tc>
        <w:tc>
          <w:tcPr/>
          <w:p>
            <w:pPr>
              <w:pStyle w:val="Compact"/>
            </w:pPr>
            <w:r>
              <w:t xml:space="preserve">A mighty king arises, does as he wills, with great dominion</w:t>
            </w:r>
          </w:p>
        </w:tc>
        <w:tc>
          <w:tcPr/>
          <w:p>
            <w:pPr>
              <w:pStyle w:val="Compact"/>
            </w:pPr>
            <w:r>
              <w:t xml:space="preserve">Alexander the Great;</w:t>
            </w:r>
            <w:r>
              <w:t xml:space="preserve"> </w:t>
            </w:r>
            <w:r>
              <w:t xml:space="preserve">“as he wills”</w:t>
            </w:r>
            <w:r>
              <w:t xml:space="preserve"> </w:t>
            </w:r>
            <w:r>
              <w:t xml:space="preserve">anticipates same language at v. 36 for the eschatological figure</w:t>
            </w:r>
          </w:p>
        </w:tc>
      </w:tr>
      <w:tr>
        <w:tc>
          <w:tcPr/>
          <w:p>
            <w:pPr>
              <w:pStyle w:val="Compact"/>
            </w:pPr>
            <w:r>
              <w:t xml:space="preserve">11:4</w:t>
            </w:r>
          </w:p>
        </w:tc>
        <w:tc>
          <w:tcPr/>
          <w:p>
            <w:pPr>
              <w:pStyle w:val="Compact"/>
            </w:pPr>
            <w:r>
              <w:t xml:space="preserve">His kingdom is broken and divided toward the four winds; not to his posterity</w:t>
            </w:r>
          </w:p>
        </w:tc>
        <w:tc>
          <w:tcPr/>
          <w:p>
            <w:pPr>
              <w:pStyle w:val="Compact"/>
            </w:pPr>
            <w:r>
              <w:t xml:space="preserve">Alexander dies 323 BC; kingdom divided among Cassander, Lysimachus, Seleucus, Ptolemy</w:t>
            </w:r>
          </w:p>
        </w:tc>
      </w:tr>
      <w:tr>
        <w:tc>
          <w:tcPr/>
          <w:p>
            <w:pPr>
              <w:pStyle w:val="Compact"/>
            </w:pPr>
            <w:r>
              <w:t xml:space="preserve">11:5</w:t>
            </w:r>
          </w:p>
        </w:tc>
        <w:tc>
          <w:tcPr/>
          <w:p>
            <w:pPr>
              <w:pStyle w:val="Compact"/>
            </w:pPr>
            <w:r>
              <w:t xml:space="preserve">The king of the South grows strong; one of his princes grows stronger</w:t>
            </w:r>
          </w:p>
        </w:tc>
        <w:tc>
          <w:tcPr/>
          <w:p>
            <w:pPr>
              <w:pStyle w:val="Compact"/>
            </w:pPr>
            <w:r>
              <w:t xml:space="preserve">Ptolemy I and Seleucus I, who breaks free and becomes more powerful</w:t>
            </w:r>
          </w:p>
        </w:tc>
      </w:tr>
      <w:tr>
        <w:tc>
          <w:tcPr/>
          <w:p>
            <w:pPr>
              <w:pStyle w:val="Compact"/>
            </w:pPr>
            <w:r>
              <w:t xml:space="preserve">11:6</w:t>
            </w:r>
          </w:p>
        </w:tc>
        <w:tc>
          <w:tcPr/>
          <w:p>
            <w:pPr>
              <w:pStyle w:val="Compact"/>
            </w:pPr>
            <w:r>
              <w:t xml:space="preserve">An alliance by marriage between North and South; it fails — the daughter, her child, her husband, and her escort all fall</w:t>
            </w:r>
          </w:p>
        </w:tc>
        <w:tc>
          <w:tcPr/>
          <w:p>
            <w:pPr>
              <w:pStyle w:val="Compact"/>
            </w:pPr>
            <w:r>
              <w:t xml:space="preserve">Ptolemy II gives daughter Berenice to Seleucus II Callinicus; Berenice and her son killed when Laodice (Seleucus’s original wife) reasserts power</w:t>
            </w:r>
          </w:p>
        </w:tc>
      </w:tr>
      <w:tr>
        <w:tc>
          <w:tcPr/>
          <w:p>
            <w:pPr>
              <w:pStyle w:val="Compact"/>
            </w:pPr>
            <w:r>
              <w:t xml:space="preserve">11:7–9</w:t>
            </w:r>
          </w:p>
        </w:tc>
        <w:tc>
          <w:tcPr/>
          <w:p>
            <w:pPr>
              <w:pStyle w:val="Compact"/>
            </w:pPr>
            <w:r>
              <w:t xml:space="preserve">A branch of her roots (her brother) invades the North, takes strongholds, returns to Egypt; the king of the North invades and returns</w:t>
            </w:r>
          </w:p>
        </w:tc>
        <w:tc>
          <w:tcPr/>
          <w:p>
            <w:pPr>
              <w:pStyle w:val="Compact"/>
            </w:pPr>
            <w:r>
              <w:t xml:space="preserve">Ptolemy III Euergetes (Berenice’s brother) avenges her death; brief Seleucid counter-raid fails</w:t>
            </w:r>
          </w:p>
        </w:tc>
      </w:tr>
      <w:tr>
        <w:tc>
          <w:tcPr/>
          <w:p>
            <w:pPr>
              <w:pStyle w:val="Compact"/>
            </w:pPr>
            <w:r>
              <w:t xml:space="preserve">11:10</w:t>
            </w:r>
          </w:p>
        </w:tc>
        <w:tc>
          <w:tcPr/>
          <w:p>
            <w:pPr>
              <w:pStyle w:val="Compact"/>
            </w:pPr>
            <w:r>
              <w:t xml:space="preserve">His sons (kings of the North) wage war, advance, and are repulsed</w:t>
            </w:r>
          </w:p>
        </w:tc>
        <w:tc>
          <w:tcPr/>
          <w:p>
            <w:pPr>
              <w:pStyle w:val="Compact"/>
            </w:pPr>
            <w:r>
              <w:t xml:space="preserve">Seleucus III and Antiochus III (</w:t>
            </w:r>
            <w:r>
              <w:t xml:space="preserve">“the Great”</w:t>
            </w:r>
            <w:r>
              <w:t xml:space="preserve">)</w:t>
            </w:r>
          </w:p>
        </w:tc>
      </w:tr>
      <w:tr>
        <w:tc>
          <w:tcPr/>
          <w:p>
            <w:pPr>
              <w:pStyle w:val="Compact"/>
            </w:pPr>
            <w:r>
              <w:t xml:space="preserve">11:11–12</w:t>
            </w:r>
          </w:p>
        </w:tc>
        <w:tc>
          <w:tcPr/>
          <w:p>
            <w:pPr>
              <w:pStyle w:val="Compact"/>
            </w:pPr>
            <w:r>
              <w:t xml:space="preserve">King of the South comes out in rage, wins a great battle, but does not prevail</w:t>
            </w:r>
          </w:p>
        </w:tc>
        <w:tc>
          <w:tcPr/>
          <w:p>
            <w:pPr>
              <w:pStyle w:val="Compact"/>
            </w:pPr>
            <w:r>
              <w:t xml:space="preserve">Ptolemy IV defeats Antiochus III at Raphia (217 BC); fails to follow through</w:t>
            </w:r>
          </w:p>
        </w:tc>
      </w:tr>
      <w:tr>
        <w:tc>
          <w:tcPr/>
          <w:p>
            <w:pPr>
              <w:pStyle w:val="Compact"/>
            </w:pPr>
            <w:r>
              <w:t xml:space="preserve">11:13–16</w:t>
            </w:r>
          </w:p>
        </w:tc>
        <w:tc>
          <w:tcPr/>
          <w:p>
            <w:pPr>
              <w:pStyle w:val="Compact"/>
            </w:pPr>
            <w:r>
              <w:t xml:space="preserve">King of the North returns with a greater army; the</w:t>
            </w:r>
            <w:r>
              <w:t xml:space="preserve"> </w:t>
            </w:r>
            <w:r>
              <w:t xml:space="preserve">“violent ones”</w:t>
            </w:r>
            <w:r>
              <w:t xml:space="preserve"> </w:t>
            </w:r>
            <w:r>
              <w:t xml:space="preserve">among Israel assist; the North prevails and stands in</w:t>
            </w:r>
            <w:r>
              <w:t xml:space="preserve"> </w:t>
            </w:r>
            <w:r>
              <w:t xml:space="preserve">“the glorious land”</w:t>
            </w:r>
          </w:p>
        </w:tc>
        <w:tc>
          <w:tcPr/>
          <w:p>
            <w:pPr>
              <w:pStyle w:val="Compact"/>
            </w:pPr>
            <w:r>
              <w:t xml:space="preserve">Antiochus III defeats Egypt at Panion (198 BC), gaining control of Judea (</w:t>
            </w:r>
            <w:r>
              <w:t xml:space="preserve">“the glorious land”</w:t>
            </w:r>
            <w:r>
              <w:t xml:space="preserve">)</w:t>
            </w:r>
          </w:p>
        </w:tc>
      </w:tr>
      <w:tr>
        <w:tc>
          <w:tcPr/>
          <w:p>
            <w:pPr>
              <w:pStyle w:val="Compact"/>
            </w:pPr>
            <w:r>
              <w:t xml:space="preserve">11:17</w:t>
            </w:r>
          </w:p>
        </w:tc>
        <w:tc>
          <w:tcPr/>
          <w:p>
            <w:pPr>
              <w:pStyle w:val="Compact"/>
            </w:pPr>
            <w:r>
              <w:t xml:space="preserve">The North seeks a political marriage alliance; it does not stand</w:t>
            </w:r>
          </w:p>
        </w:tc>
        <w:tc>
          <w:tcPr/>
          <w:p>
            <w:pPr>
              <w:pStyle w:val="Compact"/>
            </w:pPr>
            <w:r>
              <w:t xml:space="preserve">Antiochus III gives his daughter Cleopatra I to Ptolemy V; she sides with her husband, not her father</w:t>
            </w:r>
          </w:p>
        </w:tc>
      </w:tr>
      <w:tr>
        <w:tc>
          <w:tcPr/>
          <w:p>
            <w:pPr>
              <w:pStyle w:val="Compact"/>
            </w:pPr>
            <w:r>
              <w:t xml:space="preserve">11:18–19</w:t>
            </w:r>
          </w:p>
        </w:tc>
        <w:tc>
          <w:tcPr/>
          <w:p>
            <w:pPr>
              <w:pStyle w:val="Compact"/>
            </w:pPr>
            <w:r>
              <w:t xml:space="preserve">The North turns to coastlands, is repulsed by a commander, turns home, and stumbles</w:t>
            </w:r>
          </w:p>
        </w:tc>
        <w:tc>
          <w:tcPr/>
          <w:p>
            <w:pPr>
              <w:pStyle w:val="Compact"/>
            </w:pPr>
            <w:r>
              <w:t xml:space="preserve">Antiochus III’s campaigns in Asia Minor and Greece; repulsed by Rome (Battle of Magnesia, 190 BC); falls on the way home</w:t>
            </w:r>
          </w:p>
        </w:tc>
      </w:tr>
      <w:tr>
        <w:tc>
          <w:tcPr/>
          <w:p>
            <w:pPr>
              <w:pStyle w:val="Compact"/>
            </w:pPr>
            <w:r>
              <w:t xml:space="preserve">11:20</w:t>
            </w:r>
          </w:p>
        </w:tc>
        <w:tc>
          <w:tcPr/>
          <w:p>
            <w:pPr>
              <w:pStyle w:val="Compact"/>
            </w:pPr>
            <w:r>
              <w:t xml:space="preserve">His successor sends a tax collector; within days he is broken, not by anger or in battle</w:t>
            </w:r>
          </w:p>
        </w:tc>
        <w:tc>
          <w:tcPr/>
          <w:p>
            <w:pPr>
              <w:pStyle w:val="Compact"/>
            </w:pPr>
            <w:r>
              <w:t xml:space="preserve">Seleucus IV Philopator; sends Heliodorus to plunder the temple treasury; Heliodorus likely poisons him</w:t>
            </w:r>
          </w:p>
        </w:tc>
      </w:tr>
      <w:tr>
        <w:tc>
          <w:tcPr/>
          <w:p>
            <w:pPr>
              <w:pStyle w:val="Compact"/>
            </w:pPr>
            <w:r>
              <w:t xml:space="preserve">11:21</w:t>
            </w:r>
          </w:p>
        </w:tc>
        <w:tc>
          <w:tcPr/>
          <w:p>
            <w:pPr>
              <w:pStyle w:val="Compact"/>
            </w:pPr>
            <w:r>
              <w:t xml:space="preserve">A contemptible person rises who was not given the honor of the kingdom; seizes it through intrigue</w:t>
            </w:r>
          </w:p>
        </w:tc>
        <w:tc>
          <w:tcPr/>
          <w:p>
            <w:pPr>
              <w:pStyle w:val="Compact"/>
            </w:pPr>
            <w:r>
              <w:t xml:space="preserve">Antiochus IV Epiphanes; bypasses the legitimate heir, secures throne through manipulation</w:t>
            </w:r>
          </w:p>
        </w:tc>
      </w:tr>
      <w:tr>
        <w:tc>
          <w:tcPr/>
          <w:p>
            <w:pPr>
              <w:pStyle w:val="Compact"/>
            </w:pPr>
            <w:r>
              <w:t xml:space="preserve">11:22–24</w:t>
            </w:r>
          </w:p>
        </w:tc>
        <w:tc>
          <w:tcPr/>
          <w:p>
            <w:pPr>
              <w:pStyle w:val="Compact"/>
            </w:pPr>
            <w:r>
              <w:t xml:space="preserve">He sweeps away armies; even the</w:t>
            </w:r>
            <w:r>
              <w:t xml:space="preserve"> </w:t>
            </w:r>
            <w:r>
              <w:t xml:space="preserve">“prince of the covenant”</w:t>
            </w:r>
            <w:r>
              <w:t xml:space="preserve"> </w:t>
            </w:r>
            <w:r>
              <w:t xml:space="preserve">is broken; he distributes plunder; his plans against strongholds</w:t>
            </w:r>
          </w:p>
        </w:tc>
        <w:tc>
          <w:tcPr/>
          <w:p>
            <w:pPr>
              <w:pStyle w:val="Compact"/>
            </w:pPr>
            <w:r>
              <w:t xml:space="preserve">Onias III (high priest,</w:t>
            </w:r>
            <w:r>
              <w:t xml:space="preserve"> </w:t>
            </w:r>
            <w:r>
              <w:t xml:space="preserve">“prince of the covenant”</w:t>
            </w:r>
            <w:r>
              <w:t xml:space="preserve">) deposed and later murdered; Antiochus distributes temple wealth; unprecedented in deceptive generosity</w:t>
            </w:r>
          </w:p>
        </w:tc>
      </w:tr>
      <w:tr>
        <w:tc>
          <w:tcPr/>
          <w:p>
            <w:pPr>
              <w:pStyle w:val="Compact"/>
            </w:pPr>
            <w:r>
              <w:t xml:space="preserve">11:25–27</w:t>
            </w:r>
          </w:p>
        </w:tc>
        <w:tc>
          <w:tcPr/>
          <w:p>
            <w:pPr>
              <w:pStyle w:val="Compact"/>
            </w:pPr>
            <w:r>
              <w:t xml:space="preserve">Two kings, sharing one table, speak lies; neither prospers</w:t>
            </w:r>
          </w:p>
        </w:tc>
        <w:tc>
          <w:tcPr/>
          <w:p>
            <w:pPr>
              <w:pStyle w:val="Compact"/>
            </w:pPr>
            <w:r>
              <w:t xml:space="preserve">Antiochus IV’s first campaign against Ptolemy VI; mutual deception;</w:t>
            </w:r>
            <w:r>
              <w:t xml:space="preserve"> </w:t>
            </w:r>
            <w:r>
              <w:t xml:space="preserve">“the appointed time”</w:t>
            </w:r>
            <w:r>
              <w:t xml:space="preserve"> </w:t>
            </w:r>
            <w:r>
              <w:t xml:space="preserve">language first appears</w:t>
            </w:r>
          </w:p>
        </w:tc>
      </w:tr>
      <w:tr>
        <w:tc>
          <w:tcPr/>
          <w:p>
            <w:pPr>
              <w:pStyle w:val="Compact"/>
            </w:pPr>
            <w:r>
              <w:t xml:space="preserve">11:28</w:t>
            </w:r>
          </w:p>
        </w:tc>
        <w:tc>
          <w:tcPr/>
          <w:p>
            <w:pPr>
              <w:pStyle w:val="Compact"/>
            </w:pPr>
            <w:r>
              <w:t xml:space="preserve">He returns to his land with great wealth, his heart set against the holy covenant</w:t>
            </w:r>
          </w:p>
        </w:tc>
        <w:tc>
          <w:tcPr/>
          <w:p>
            <w:pPr>
              <w:pStyle w:val="Compact"/>
            </w:pPr>
            <w:r>
              <w:t xml:space="preserve">Antiochus returns from Egypt (170–169 BC), plunders the Jerusalem temple on the way; initial desecration</w:t>
            </w:r>
          </w:p>
        </w:tc>
      </w:tr>
      <w:tr>
        <w:tc>
          <w:tcPr/>
          <w:p>
            <w:pPr>
              <w:pStyle w:val="Compact"/>
            </w:pPr>
            <w:r>
              <w:t xml:space="preserve">11:29–30a</w:t>
            </w:r>
          </w:p>
        </w:tc>
        <w:tc>
          <w:tcPr/>
          <w:p>
            <w:pPr>
              <w:pStyle w:val="Compact"/>
            </w:pPr>
            <w:r>
              <w:t xml:space="preserve">Second invasion of Egypt;</w:t>
            </w:r>
            <w:r>
              <w:t xml:space="preserve"> </w:t>
            </w:r>
            <w:r>
              <w:t xml:space="preserve">“ships of Kittim”</w:t>
            </w:r>
            <w:r>
              <w:t xml:space="preserve"> </w:t>
            </w:r>
            <w:r>
              <w:t xml:space="preserve">oppose him; he returns in shame</w:t>
            </w:r>
          </w:p>
        </w:tc>
        <w:tc>
          <w:tcPr/>
          <w:p>
            <w:pPr>
              <w:pStyle w:val="Compact"/>
            </w:pPr>
            <w:r>
              <w:t xml:space="preserve">Second Egyptian campaign (168 BC); Roman envoy Gaius Popilius Laenas draws a circle in the sand, forces Antiochus to withdraw</w:t>
            </w:r>
          </w:p>
        </w:tc>
      </w:tr>
      <w:tr>
        <w:tc>
          <w:tcPr/>
          <w:p>
            <w:pPr>
              <w:pStyle w:val="Compact"/>
            </w:pPr>
            <w:r>
              <w:t xml:space="preserve">11:30b–31</w:t>
            </w:r>
          </w:p>
        </w:tc>
        <w:tc>
          <w:tcPr/>
          <w:p>
            <w:pPr>
              <w:pStyle w:val="Compact"/>
            </w:pPr>
            <w:r>
              <w:t xml:space="preserve">He vents his fury against the holy covenant; he sets up the</w:t>
            </w:r>
            <w:r>
              <w:t xml:space="preserve"> </w:t>
            </w:r>
            <w:r>
              <w:t xml:space="preserve">“abomination of desolation”</w:t>
            </w:r>
          </w:p>
        </w:tc>
        <w:tc>
          <w:tcPr/>
          <w:p>
            <w:pPr>
              <w:pStyle w:val="Compact"/>
            </w:pPr>
            <w:r>
              <w:t xml:space="preserve">Antiochus’s Jerusalem pogrom (168 BC); Hellenistic Jews are co-conspirators (</w:t>
            </w:r>
            <w:r>
              <w:t xml:space="preserve">“forsake the holy covenant”</w:t>
            </w:r>
            <w:r>
              <w:t xml:space="preserve">); temple sacrifices end; pig on the altar; statue of Zeus/Antiochus</w:t>
            </w:r>
          </w:p>
        </w:tc>
      </w:tr>
      <w:tr>
        <w:tc>
          <w:tcPr/>
          <w:p>
            <w:pPr>
              <w:pStyle w:val="Compact"/>
            </w:pPr>
            <w:r>
              <w:t xml:space="preserve">11:32</w:t>
            </w:r>
          </w:p>
        </w:tc>
        <w:tc>
          <w:tcPr/>
          <w:p>
            <w:pPr>
              <w:pStyle w:val="Compact"/>
            </w:pPr>
            <w:r>
              <w:t xml:space="preserve">Those who violate the covenant he corrupts with flattery; but the people who know their God shall stand firm and take action</w:t>
            </w:r>
          </w:p>
        </w:tc>
        <w:tc>
          <w:tcPr/>
          <w:p>
            <w:pPr>
              <w:pStyle w:val="Compact"/>
            </w:pPr>
            <w:r>
              <w:t xml:space="preserve">The two responses: Hellenized apostates vs. the Maccabean faithful;</w:t>
            </w:r>
            <w:r>
              <w:t xml:space="preserve"> </w:t>
            </w:r>
            <w:r>
              <w:t xml:space="preserve">“know their God”</w:t>
            </w:r>
            <w:r>
              <w:t xml:space="preserve"> </w:t>
            </w:r>
            <w:r>
              <w:t xml:space="preserve">— the epistemological root of resistance</w:t>
            </w:r>
          </w:p>
        </w:tc>
      </w:tr>
      <w:tr>
        <w:tc>
          <w:tcPr/>
          <w:p>
            <w:pPr>
              <w:pStyle w:val="Compact"/>
            </w:pPr>
            <w:r>
              <w:t xml:space="preserve">11:33–35</w:t>
            </w:r>
          </w:p>
        </w:tc>
        <w:tc>
          <w:tcPr/>
          <w:p>
            <w:pPr>
              <w:pStyle w:val="Compact"/>
            </w:pPr>
            <w:r>
              <w:t xml:space="preserve">The wise shall make many understand; they shall fall by sword, flame, captivity, plunder; some shall fall to refine and purify, until the appointed time</w:t>
            </w:r>
          </w:p>
        </w:tc>
        <w:tc>
          <w:tcPr/>
          <w:p>
            <w:pPr>
              <w:pStyle w:val="Compact"/>
            </w:pPr>
            <w:r>
              <w:t xml:space="preserve">Maccabean martyrs and the faithful remnant; suffering is purposive (</w:t>
            </w:r>
            <w:r>
              <w:t xml:space="preserve">“refine and purify”</w:t>
            </w:r>
            <w:r>
              <w:t xml:space="preserve">) and bounded (</w:t>
            </w:r>
            <w:r>
              <w:t xml:space="preserve">“the appointed time”</w:t>
            </w:r>
            <w:r>
              <w:t xml:space="preserve">) — key pastoral anchor</w:t>
            </w:r>
          </w:p>
        </w:tc>
      </w:tr>
      <w:tr>
        <w:tc>
          <w:tcPr/>
          <w:p>
            <w:pPr>
              <w:pStyle w:val="Compact"/>
            </w:pPr>
            <w:r>
              <w:t xml:space="preserve">11:36</w:t>
            </w:r>
          </w:p>
        </w:tc>
        <w:tc>
          <w:tcPr/>
          <w:p>
            <w:pPr>
              <w:pStyle w:val="Compact"/>
            </w:pPr>
            <w:r>
              <w:t xml:space="preserve">The king does as he wills, exalts himself above every god, speaks astonishing things against the God of gods, prospers until the indignation is accomplished</w:t>
            </w:r>
          </w:p>
        </w:tc>
        <w:tc>
          <w:tcPr/>
          <w:p>
            <w:pPr>
              <w:pStyle w:val="Compact"/>
            </w:pPr>
            <w:r>
              <w:t xml:space="preserve">Transition point: the language escalates beyond Antiochus’s historical career;</w:t>
            </w:r>
            <w:r>
              <w:t xml:space="preserve"> </w:t>
            </w:r>
            <w:r>
              <w:t xml:space="preserve">“until the indignation is accomplished”</w:t>
            </w:r>
            <w:r>
              <w:t xml:space="preserve"> </w:t>
            </w:r>
            <w:r>
              <w:t xml:space="preserve">— sovereignty marker</w:t>
            </w:r>
          </w:p>
        </w:tc>
      </w:tr>
      <w:tr>
        <w:tc>
          <w:tcPr/>
          <w:p>
            <w:pPr>
              <w:pStyle w:val="Compact"/>
            </w:pPr>
            <w:r>
              <w:t xml:space="preserve">11:37–38</w:t>
            </w:r>
          </w:p>
        </w:tc>
        <w:tc>
          <w:tcPr/>
          <w:p>
            <w:pPr>
              <w:pStyle w:val="Compact"/>
            </w:pPr>
            <w:r>
              <w:t xml:space="preserve">No regard for the gods of his fathers, nor desire for women, nor any god; he honors a god of fortresses with gold and silver</w:t>
            </w:r>
          </w:p>
        </w:tc>
        <w:tc>
          <w:tcPr/>
          <w:p>
            <w:pPr>
              <w:pStyle w:val="Compact"/>
            </w:pPr>
            <w:r>
              <w:t xml:space="preserve">The eschatological figure’s religious profile: totalizing self-exaltation;</w:t>
            </w:r>
            <w:r>
              <w:t xml:space="preserve"> </w:t>
            </w:r>
            <w:r>
              <w:t xml:space="preserve">“god of fortresses”</w:t>
            </w:r>
            <w:r>
              <w:t xml:space="preserve"> </w:t>
            </w:r>
            <w:r>
              <w:t xml:space="preserve">may be military power as deity</w:t>
            </w:r>
          </w:p>
        </w:tc>
      </w:tr>
      <w:tr>
        <w:tc>
          <w:tcPr/>
          <w:p>
            <w:pPr>
              <w:pStyle w:val="Compact"/>
            </w:pPr>
            <w:r>
              <w:t xml:space="preserve">11:39</w:t>
            </w:r>
          </w:p>
        </w:tc>
        <w:tc>
          <w:tcPr/>
          <w:p>
            <w:pPr>
              <w:pStyle w:val="Compact"/>
            </w:pPr>
            <w:r>
              <w:t xml:space="preserve">He deals with the strongest fortresses with a foreign god; those who acknowledge him he endows with glory</w:t>
            </w:r>
          </w:p>
        </w:tc>
        <w:tc>
          <w:tcPr/>
          <w:p>
            <w:pPr>
              <w:pStyle w:val="Compact"/>
            </w:pPr>
            <w:r>
              <w:t xml:space="preserve">Political-religious system built on self-worship distributed as patronage</w:t>
            </w:r>
          </w:p>
        </w:tc>
      </w:tr>
      <w:tr>
        <w:tc>
          <w:tcPr/>
          <w:p>
            <w:pPr>
              <w:pStyle w:val="Compact"/>
            </w:pPr>
            <w:r>
              <w:t xml:space="preserve">11:40–43</w:t>
            </w:r>
          </w:p>
        </w:tc>
        <w:tc>
          <w:tcPr/>
          <w:p>
            <w:pPr>
              <w:pStyle w:val="Compact"/>
            </w:pPr>
            <w:r>
              <w:t xml:space="preserve">At the time of the end, the king of the South pushes at him; the North sweeps through many countries, enters</w:t>
            </w:r>
            <w:r>
              <w:t xml:space="preserve"> </w:t>
            </w:r>
            <w:r>
              <w:t xml:space="preserve">“the glorious land,”</w:t>
            </w:r>
            <w:r>
              <w:t xml:space="preserve"> </w:t>
            </w:r>
            <w:r>
              <w:t xml:space="preserve">conquers except Edom, Moab, the leading Ammonites</w:t>
            </w:r>
          </w:p>
        </w:tc>
        <w:tc>
          <w:tcPr/>
          <w:p>
            <w:pPr>
              <w:pStyle w:val="Compact"/>
            </w:pPr>
            <w:r>
              <w:t xml:space="preserve">Final campaign sequence; details do not match any known Antiochean campaign</w:t>
            </w:r>
          </w:p>
        </w:tc>
      </w:tr>
      <w:tr>
        <w:tc>
          <w:tcPr/>
          <w:p>
            <w:pPr>
              <w:pStyle w:val="Compact"/>
            </w:pPr>
            <w:r>
              <w:t xml:space="preserve">11:44–45</w:t>
            </w:r>
          </w:p>
        </w:tc>
        <w:tc>
          <w:tcPr/>
          <w:p>
            <w:pPr>
              <w:pStyle w:val="Compact"/>
            </w:pPr>
            <w:r>
              <w:t xml:space="preserve">Reports from East and North alarm him; he pitches his tent between the sea and the glorious holy mountain; he comes to his end — with no one to help him</w:t>
            </w:r>
          </w:p>
        </w:tc>
        <w:tc>
          <w:tcPr/>
          <w:p>
            <w:pPr>
              <w:pStyle w:val="Compact"/>
            </w:pPr>
            <w:r>
              <w:t xml:space="preserve">Supernatural, sudden end;</w:t>
            </w:r>
            <w:r>
              <w:t xml:space="preserve"> </w:t>
            </w:r>
            <w:r>
              <w:t xml:space="preserve">“no one to help”</w:t>
            </w:r>
            <w:r>
              <w:t xml:space="preserve"> </w:t>
            </w:r>
            <w:r>
              <w:t xml:space="preserve">— the powers that appeared sovereign simply cease; cf. Daniel 2’s stone cut without hands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11:1–4</w:t>
            </w:r>
          </w:p>
        </w:tc>
        <w:tc>
          <w:tcPr/>
          <w:p>
            <w:pPr>
              <w:pStyle w:val="Compact"/>
            </w:pPr>
            <w:r>
              <w:t xml:space="preserve">The Persian and Greek Empires: God’s Sovereignty over the Ancient World</w:t>
            </w:r>
          </w:p>
        </w:tc>
      </w:tr>
      <w:tr>
        <w:tc>
          <w:tcPr/>
          <w:p>
            <w:pPr>
              <w:pStyle w:val="Compact"/>
            </w:pPr>
            <w:r>
              <w:t xml:space="preserve">2</w:t>
            </w:r>
          </w:p>
        </w:tc>
        <w:tc>
          <w:tcPr/>
          <w:p>
            <w:pPr>
              <w:pStyle w:val="Compact"/>
            </w:pPr>
            <w:r>
              <w:t xml:space="preserve">11:5–20</w:t>
            </w:r>
          </w:p>
        </w:tc>
        <w:tc>
          <w:tcPr/>
          <w:p>
            <w:pPr>
              <w:pStyle w:val="Compact"/>
            </w:pPr>
            <w:r>
              <w:t xml:space="preserve">The Wars of the North and South: God’s Sovereignty over a Century of Conflict</w:t>
            </w:r>
          </w:p>
        </w:tc>
      </w:tr>
      <w:tr>
        <w:tc>
          <w:tcPr/>
          <w:p>
            <w:pPr>
              <w:pStyle w:val="Compact"/>
            </w:pPr>
            <w:r>
              <w:t xml:space="preserve">3</w:t>
            </w:r>
          </w:p>
        </w:tc>
        <w:tc>
          <w:tcPr/>
          <w:p>
            <w:pPr>
              <w:pStyle w:val="Compact"/>
            </w:pPr>
            <w:r>
              <w:t xml:space="preserve">11:21–35</w:t>
            </w:r>
          </w:p>
        </w:tc>
        <w:tc>
          <w:tcPr/>
          <w:p>
            <w:pPr>
              <w:pStyle w:val="Compact"/>
            </w:pPr>
            <w:r>
              <w:t xml:space="preserve">Antiochus IV Epiphanes: God’s Sovereignty over the Covenant’s Greatest Near-Enemy</w:t>
            </w:r>
          </w:p>
        </w:tc>
      </w:tr>
      <w:tr>
        <w:tc>
          <w:tcPr/>
          <w:p>
            <w:pPr>
              <w:pStyle w:val="Compact"/>
            </w:pPr>
            <w:r>
              <w:t xml:space="preserve">4</w:t>
            </w:r>
          </w:p>
        </w:tc>
        <w:tc>
          <w:tcPr/>
          <w:p>
            <w:pPr>
              <w:pStyle w:val="Compact"/>
            </w:pPr>
            <w:r>
              <w:t xml:space="preserve">11:36–45</w:t>
            </w:r>
          </w:p>
        </w:tc>
        <w:tc>
          <w:tcPr/>
          <w:p>
            <w:pPr>
              <w:pStyle w:val="Compact"/>
            </w:pPr>
            <w:r>
              <w:t xml:space="preserve">The Final King: God’s Sovereignty over the Eschatological Enemy — Who Also Ends at the Appointed Time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displays sovereign foreknowledge of every earthly power to anchor His people against every threat.</w:t>
      </w:r>
    </w:p>
    <w:p>
      <w:pPr>
        <w:pStyle w:val="BodyText"/>
      </w:pPr>
      <w:r>
        <w:rPr>
          <w:b/>
          <w:bCs/>
        </w:rPr>
        <w:t xml:space="preserve">Primary Claim:</w:t>
      </w:r>
      <w:r>
        <w:t xml:space="preserve"> </w:t>
      </w:r>
      <w:r>
        <w:t xml:space="preserve">The meticulous divine foreknowledge displayed in Daniel 11 is not apologetic evidence for a curious reader — it is pastoral provision for a suffering people: God has already narrated the rise and fall of every power that will come against His people, so that when those powers arrive in their full terror, His people will not be moved.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Learn to read current events from the end backward, not from the present forward.</w:t>
      </w:r>
    </w:p>
    <w:p>
      <w:pPr>
        <w:pStyle w:val="BodyText"/>
      </w:pPr>
      <w:r>
        <w:t xml:space="preserve">Daniel 11 does not give us a newspaper to decode — it gives us a framework to inhabit: every power that exalts itself, desecrates the sacred, and persecutes the faithful is already narrated in advance, already bounded by an</w:t>
      </w:r>
      <w:r>
        <w:t xml:space="preserve"> </w:t>
      </w:r>
      <w:r>
        <w:t xml:space="preserve">“appointed time,”</w:t>
      </w:r>
      <w:r>
        <w:t xml:space="preserve"> </w:t>
      </w:r>
      <w:r>
        <w:t xml:space="preserve">and already assigned a final end between two landmarks with no one to help. The reader’s task is not to identify which specific political leader corresponds to verse 36, but to receive the chapter’s governing certainty: the King of Heaven has already seen every king of the North and South in their full terror, and He was not alarmed. When the news cycle produces alarm in you, the prescription is not more information — it is this chapter, read again, from the sovereignty of God’s foreknowledge downward into the present moment.</w:t>
      </w:r>
    </w:p>
    <w:p>
      <w:pPr>
        <w:pStyle w:val="BodyText"/>
      </w:pPr>
      <w:r>
        <w:rPr>
          <w:b/>
          <w:bCs/>
        </w:rPr>
        <w:t xml:space="preserve">2. [Affections/Worship] — Let the precision of God’s foreknowledge produce worship, not merely reassurance.</w:t>
      </w:r>
    </w:p>
    <w:p>
      <w:pPr>
        <w:pStyle w:val="BodyText"/>
      </w:pPr>
      <w:r>
        <w:t xml:space="preserve">The detail in Daniel 11:1–35 is stunning — not because it is impressive scholarship but because it is the transcript of a God who was present at every battle conference, every marriage alliance, every poisoning and betrayal, not as a spectator but as the Author. Antiochus IV was not a problem that surprised God and required a contingency response. He was a figure whose every move — including his humiliation before a Roman envoy drawing a circle in the sand — was written into the record before Antiochus was born. The appropriate response to this is not merely comfort but doxology. The God you worship has been governing the terrifying machinery of human empire since before the first Persian king drew breath. Worship Him not as a God who manages history but as the God who authors it.</w:t>
      </w:r>
    </w:p>
    <w:p>
      <w:pPr>
        <w:pStyle w:val="BodyText"/>
      </w:pPr>
      <w:r>
        <w:rPr>
          <w:b/>
          <w:bCs/>
        </w:rPr>
        <w:t xml:space="preserve">3. [Mind/Belief] — Identify the</w:t>
      </w:r>
      <w:r>
        <w:rPr>
          <w:b/>
          <w:bCs/>
        </w:rPr>
        <w:t xml:space="preserve"> </w:t>
      </w:r>
      <w:r>
        <w:rPr>
          <w:b/>
          <w:bCs/>
        </w:rPr>
        <w:t xml:space="preserve">“people who know their God”</w:t>
      </w:r>
      <w:r>
        <w:rPr>
          <w:b/>
          <w:bCs/>
        </w:rPr>
        <w:t xml:space="preserve"> </w:t>
      </w:r>
      <w:r>
        <w:rPr>
          <w:b/>
          <w:bCs/>
        </w:rPr>
        <w:t xml:space="preserve">in verse 32 as the one reliable category of persons in this chapter.</w:t>
      </w:r>
    </w:p>
    <w:p>
      <w:pPr>
        <w:pStyle w:val="BodyText"/>
      </w:pPr>
      <w:r>
        <w:t xml:space="preserve">Every other category in Daniel 11 describes people defined by their relationship to power: kings who invade, alliances that fail, apostates who are flattered into compliance. Only verse 32 identifies a group defined not by political position or military capability but by knowledge of God — and of them it is said:</w:t>
      </w:r>
      <w:r>
        <w:t xml:space="preserve"> </w:t>
      </w:r>
      <w:r>
        <w:t xml:space="preserve">“they shall stand firm and take action.”</w:t>
      </w:r>
      <w:r>
        <w:t xml:space="preserve"> </w:t>
      </w:r>
      <w:r>
        <w:t xml:space="preserve">This is the chapter’s anthropological anchor. The question the chapter puts to the reader is not</w:t>
      </w:r>
      <w:r>
        <w:t xml:space="preserve"> </w:t>
      </w:r>
      <w:r>
        <w:t xml:space="preserve">“which side will you be on politically?”</w:t>
      </w:r>
      <w:r>
        <w:t xml:space="preserve"> </w:t>
      </w:r>
      <w:r>
        <w:t xml:space="preserve">but</w:t>
      </w:r>
      <w:r>
        <w:t xml:space="preserve"> </w:t>
      </w:r>
      <w:r>
        <w:t xml:space="preserve">“do you know your God?”</w:t>
      </w:r>
      <w:r>
        <w:t xml:space="preserve"> </w:t>
      </w:r>
      <w:r>
        <w:t xml:space="preserve">— and not as a matter of formal religious affiliation but as the kind of deep, covenantal, experiential knowledge that produces stability under pressure and action under persecution. Examine whether what you call faith is this kind of knowledge, or whether it is a religious preference that evaporates when the king of the North arrives.</w:t>
      </w:r>
    </w:p>
    <w:p>
      <w:pPr>
        <w:pStyle w:val="BodyText"/>
      </w:pPr>
      <w:r>
        <w:rPr>
          <w:b/>
          <w:bCs/>
        </w:rPr>
        <w:t xml:space="preserve">4. [Will/Behavior] — Refuse the flattery of the king.</w:t>
      </w:r>
    </w:p>
    <w:p>
      <w:pPr>
        <w:pStyle w:val="BodyText"/>
      </w:pPr>
      <w:r>
        <w:t xml:space="preserve">Verse 32 identifies a specific category of people who are</w:t>
      </w:r>
      <w:r>
        <w:t xml:space="preserve"> </w:t>
      </w:r>
      <w:r>
        <w:t xml:space="preserve">“corrupted by flattery”</w:t>
      </w:r>
      <w:r>
        <w:t xml:space="preserve"> </w:t>
      </w:r>
      <w:r>
        <w:t xml:space="preserve">— those who had already</w:t>
      </w:r>
      <w:r>
        <w:t xml:space="preserve"> </w:t>
      </w:r>
      <w:r>
        <w:t xml:space="preserve">“violated the covenant”</w:t>
      </w:r>
      <w:r>
        <w:t xml:space="preserve"> </w:t>
      </w:r>
      <w:r>
        <w:t xml:space="preserve">and whose apostasy was confirmed and deepened by the political-religious blandishments of Antiochus. This is not a merely ancient failure. Every generation faces a version of this: the moment when the prevailing power offers comfort, status, or safety in exchange for a posture toward the holy covenant. The Hellenizing Jews who collaborated were not coerced at first — they were flattered. They were offered inclusion in the modern, sophisticated, pan-cultural world of Hellenism, and they found the terms attractive. The question the chapter presses is concrete: where are you being flattered into a posture of accommodation toward something that sets itself against the covenant of God? Name it. Refuse it.</w:t>
      </w:r>
    </w:p>
    <w:p>
      <w:pPr>
        <w:pStyle w:val="BodyText"/>
      </w:pPr>
      <w:r>
        <w:rPr>
          <w:b/>
          <w:bCs/>
        </w:rPr>
        <w:t xml:space="preserve">5. [Affections/Worship] — Rest in the</w:t>
      </w:r>
      <w:r>
        <w:rPr>
          <w:b/>
          <w:bCs/>
        </w:rPr>
        <w:t xml:space="preserve"> </w:t>
      </w:r>
      <w:r>
        <w:rPr>
          <w:b/>
          <w:bCs/>
        </w:rPr>
        <w:t xml:space="preserve">“appointed time”</w:t>
      </w:r>
      <w:r>
        <w:rPr>
          <w:b/>
          <w:bCs/>
        </w:rPr>
        <w:t xml:space="preserve"> </w:t>
      </w:r>
      <w:r>
        <w:rPr>
          <w:b/>
          <w:bCs/>
        </w:rPr>
        <w:t xml:space="preserve">as God’s gift to those who suffer.</w:t>
      </w:r>
    </w:p>
    <w:p>
      <w:pPr>
        <w:pStyle w:val="BodyText"/>
      </w:pPr>
      <w:r>
        <w:t xml:space="preserve">The phrase</w:t>
      </w:r>
      <w:r>
        <w:t xml:space="preserve"> </w:t>
      </w:r>
      <w:r>
        <w:t xml:space="preserve">“appointed time”</w:t>
      </w:r>
      <w:r>
        <w:t xml:space="preserve"> </w:t>
      </w:r>
      <w:r>
        <w:t xml:space="preserve">appears at verses 27, 29, and 35 — and the logic of its appearance is never that the suffering is pleasant but that it is bounded.</w:t>
      </w:r>
      <w:r>
        <w:t xml:space="preserve"> </w:t>
      </w:r>
      <w:r>
        <w:t xml:space="preserve">“Until the appointed time”</w:t>
      </w:r>
      <w:r>
        <w:t xml:space="preserve"> </w:t>
      </w:r>
      <w:r>
        <w:t xml:space="preserve">(v. 35) means that the sword, the flame, the captivity, and the plunder have an end that is not determined by the power inflicting them but by the God who fixed the endpoint before the persecution began. For the person currently in a season of suffering — whether under institutional pressure, family persecution, professional cost, or health crisis — the appointed time is not a platitude. It is a covenantal declaration: the One who fixed the endpoint for Antiochus’s power has fixed an endpoint for every affliction that touches His people. This does not explain the suffering. It anchors you in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Daniel 11 is the Bible’s most sustained display of divine omniscience applied to human history. It teaches that God’s knowledge of events is not general or approximate but specific, detailed, and temporally prior — He announces the end from the beginning (Isaiah 46:10), and Daniel 11 is the exposition of that claim at the level of particular kings, battles, and alliances. The chapter also teaches that God’s sovereignty over history is not passive foreknowledge but active authorship: the</w:t>
      </w:r>
      <w:r>
        <w:t xml:space="preserve"> </w:t>
      </w:r>
      <w:r>
        <w:t xml:space="preserve">“appointed time”</w:t>
      </w:r>
      <w:r>
        <w:t xml:space="preserve"> </w:t>
      </w:r>
      <w:r>
        <w:t xml:space="preserve">is not a prediction but a decree — the endpoint is set because the Governor of human affairs has set it. Furthermore, the chapter’s typological movement from Antiochus to the eschatological antichrist teaches that God governs not only individual events but the entire eschatological arc — history is not an open series of conflicts with an uncertain outcome but a narrated movement toward a fixed conclusion in which the final enemy also comes to his end</w:t>
      </w:r>
      <w:r>
        <w:t xml:space="preserve"> </w:t>
      </w:r>
      <w:r>
        <w:t xml:space="preserve">“with no one to help him.”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Daniel 11 is a primary scriptural foundation for the Reformed doctrine of divine providence — specifically the Westminster Confession’s teaching that God</w:t>
      </w:r>
      <w:r>
        <w:t xml:space="preserve"> </w:t>
      </w:r>
      <w:r>
        <w:t xml:space="preserve">“doth uphold, direct, dispose, and govern all creatures, actions, and things, from the greatest even to the least”</w:t>
      </w:r>
      <w:r>
        <w:t xml:space="preserve"> </w:t>
      </w:r>
      <w:r>
        <w:t xml:space="preserve">(WCF 5.1). The chapter renders this not as abstract theology but as pastoral concreteness: the people of God are not called to trust a general principle of divine sovereignty but the specific God who demonstrated His sovereignty over Antiochus IV, over Alexander, over the Romans who humiliated the king of the North, and who has demonstrated it equally over every power that followed. The Reformed emphasis on God’s covenant faithfulness — that He governs history for the sake of His covenant people and toward His covenant purposes — is displayed in the chapter’s consistent attention to the</w:t>
      </w:r>
      <w:r>
        <w:t xml:space="preserve"> </w:t>
      </w:r>
      <w:r>
        <w:t xml:space="preserve">“holy covenant”</w:t>
      </w:r>
      <w:r>
        <w:t xml:space="preserve"> </w:t>
      </w:r>
      <w:r>
        <w:t xml:space="preserve">as the point of conflict: it is the covenant that the powers attack, and it is the covenant that survives. The typological structure also grounds Reformed eschatology: the future is not unknown territory requiring anxious discernment but territory already mapped by the God who speaks the end from the beginning.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power that has ever threatened the people of God — the kings who march through Daniel 11 in their confident terribleness — came to its appointed end, with no one to help it. Not one of them outlasted what God had decreed. The God who knew Antiochus IV Epiphanes before the first Persian king was crowned knows every power pressing against you today. He has already narrated its end. Stand firm. Take action. Know your God.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prophetic puzzle to decode.</w:t>
      </w:r>
      <w:r>
        <w:t xml:space="preserve"> </w:t>
      </w:r>
      <w:r>
        <w:t xml:space="preserve">Daniel 11 generates enormous interest in prophetic identification — which leader is the</w:t>
      </w:r>
      <w:r>
        <w:t xml:space="preserve"> </w:t>
      </w:r>
      <w:r>
        <w:t xml:space="preserve">“king who does as he wills,”</w:t>
      </w:r>
      <w:r>
        <w:t xml:space="preserve"> </w:t>
      </w:r>
      <w:r>
        <w:t xml:space="preserve">which nation is the king of the North, when does the eschatological shift occur. This curiosity, while not illegitimate, is the wrong center of gravity for exposition. The chapter is not a code to crack; it is pastoral provision to receive. A congregation that leaves the sermon having learned which ancient conflicts are mapped in verses 1–35 but who has not been anchored more deeply in God’s sovereignty has not yet heard Daniel 11. The historical precision should produce worship and confidence, not merely intellectual satisfaction.</w:t>
      </w:r>
    </w:p>
    <w:p>
      <w:pPr>
        <w:numPr>
          <w:ilvl w:val="0"/>
          <w:numId w:val="1002"/>
        </w:numPr>
      </w:pPr>
      <w:r>
        <w:rPr>
          <w:b/>
          <w:bCs/>
        </w:rPr>
        <w:t xml:space="preserve">Ignoring the pastoral function of</w:t>
      </w:r>
      <w:r>
        <w:rPr>
          <w:b/>
          <w:bCs/>
        </w:rPr>
        <w:t xml:space="preserve"> </w:t>
      </w:r>
      <w:r>
        <w:rPr>
          <w:b/>
          <w:bCs/>
        </w:rPr>
        <w:t xml:space="preserve">“the appointed time.”</w:t>
      </w:r>
      <w:r>
        <w:t xml:space="preserve"> </w:t>
      </w:r>
      <w:r>
        <w:t xml:space="preserve">The phrase appears three times and is the key to the chapter’s emotional register. Verses 32–35 describe real suffering — sword, flame, captivity, plunder, the falling of the wise. The chapter does not minimize this. But it frames it as purposive (</w:t>
      </w:r>
      <w:r>
        <w:t xml:space="preserve">“to refine and purify”</w:t>
      </w:r>
      <w:r>
        <w:t xml:space="preserve">) and bounded (</w:t>
      </w:r>
      <w:r>
        <w:t xml:space="preserve">“until the appointed time”</w:t>
      </w:r>
      <w:r>
        <w:t xml:space="preserve">). A sermon that presents the chapter’s sovereignty without its pastoral application to present suffering leaves the congregation intellectually informed but existentially unhelped. Press into the appointed time as God’s concrete provision for those in the valley.</w:t>
      </w:r>
    </w:p>
    <w:p>
      <w:pPr>
        <w:numPr>
          <w:ilvl w:val="0"/>
          <w:numId w:val="1002"/>
        </w:numPr>
      </w:pPr>
      <w:r>
        <w:rPr>
          <w:b/>
          <w:bCs/>
        </w:rPr>
        <w:t xml:space="preserve">Moralizing from Maccabean faithfulness without grounding it in divine sovereignty.</w:t>
      </w:r>
      <w:r>
        <w:t xml:space="preserve"> </w:t>
      </w:r>
      <w:r>
        <w:t xml:space="preserve">Verse 32’s</w:t>
      </w:r>
      <w:r>
        <w:t xml:space="preserve"> </w:t>
      </w:r>
      <w:r>
        <w:t xml:space="preserve">“people who know their God shall stand firm and take action”</w:t>
      </w:r>
      <w:r>
        <w:t xml:space="preserve"> </w:t>
      </w:r>
      <w:r>
        <w:t xml:space="preserve">and verse 33’s</w:t>
      </w:r>
      <w:r>
        <w:t xml:space="preserve"> </w:t>
      </w:r>
      <w:r>
        <w:t xml:space="preserve">“the wise shall make many understand”</w:t>
      </w:r>
      <w:r>
        <w:t xml:space="preserve"> </w:t>
      </w:r>
      <w:r>
        <w:t xml:space="preserve">are genuine calls to faithful witness under pressure. But the preacher must not frame these as bare moral examples (</w:t>
      </w:r>
      <w:r>
        <w:t xml:space="preserve">“be like the Maccabean faithful, not like the Hellenizing apostates”</w:t>
      </w:r>
      <w:r>
        <w:t xml:space="preserve">) without grounding the call in the sovereignty that makes it possible. The Maccabean faithful can stand firm</w:t>
      </w:r>
      <w:r>
        <w:t xml:space="preserve"> </w:t>
      </w:r>
      <w:r>
        <w:rPr>
          <w:i/>
          <w:iCs/>
        </w:rPr>
        <w:t xml:space="preserve">because</w:t>
      </w:r>
      <w:r>
        <w:t xml:space="preserve"> </w:t>
      </w:r>
      <w:r>
        <w:t xml:space="preserve">God has fixed the appointed time. Courage flows from sovereignty; it does not generate it independently.</w:t>
      </w:r>
    </w:p>
    <w:p>
      <w:pPr>
        <w:numPr>
          <w:ilvl w:val="0"/>
          <w:numId w:val="1002"/>
        </w:numPr>
      </w:pPr>
      <w:r>
        <w:rPr>
          <w:b/>
          <w:bCs/>
        </w:rPr>
        <w:t xml:space="preserve">Avoiding the eschatological transition at verse 36.</w:t>
      </w:r>
      <w:r>
        <w:t xml:space="preserve"> </w:t>
      </w:r>
      <w:r>
        <w:t xml:space="preserve">Many expositors, uncomfortable with the interpretive complexity of verses 36–45, either skip the section, acknowledge the difficulty without resolution, or flatten it back onto Antiochus. All three moves deprive the congregation of the chapter’s eschatological anchor — that the final enemy, like all the enemies before him, also ends</w:t>
      </w:r>
      <w:r>
        <w:t xml:space="preserve"> </w:t>
      </w:r>
      <w:r>
        <w:t xml:space="preserve">“with no one to help him.”</w:t>
      </w:r>
      <w:r>
        <w:t xml:space="preserve"> </w:t>
      </w:r>
      <w:r>
        <w:t xml:space="preserve">This final assurance is load-bearing for the chapter’s pastoral intent. Engage the typological reading clearly, explain it briefly, and let the conclusion stand: the last king is already narrated, already bounded, and already ended in the divine foreknowledge.</w:t>
      </w:r>
    </w:p>
    <w:p>
      <w:pPr>
        <w:numPr>
          <w:ilvl w:val="0"/>
          <w:numId w:val="1002"/>
        </w:numPr>
      </w:pPr>
      <w:r>
        <w:rPr>
          <w:b/>
          <w:bCs/>
        </w:rPr>
        <w:t xml:space="preserve">Using the chapter’s apologetic value as the sermon’s main event.</w:t>
      </w:r>
      <w:r>
        <w:t xml:space="preserve"> </w:t>
      </w:r>
      <w:r>
        <w:t xml:space="preserve">The historical precision of Daniel 11:1–35 is genuinely extraordinary and constitutes a powerful case for the book’s sixth-century date and the reality of predictive prophecy. This is worth noting — even worth dwelling on briefly to establish the congregation’s confidence in the text. But if the sermon becomes a defense of Daniel’s authenticity against liberal scholarship, the apologetic has consumed the pastoral. Establish confidence in the text; then move through it toward the God the text reveals. The apologetic is a door; the congregation must be brought through it, not left standing in the doorway.</w:t>
      </w:r>
    </w:p>
    <w:p>
      <w:pPr>
        <w:numPr>
          <w:ilvl w:val="0"/>
          <w:numId w:val="1002"/>
        </w:numPr>
      </w:pPr>
      <w:r>
        <w:rPr>
          <w:b/>
          <w:bCs/>
        </w:rPr>
        <w:t xml:space="preserve">Preaching the chapter in isolation from its Daniel 10–12 unit.</w:t>
      </w:r>
      <w:r>
        <w:t xml:space="preserve"> </w:t>
      </w:r>
      <w:r>
        <w:t xml:space="preserve">Daniel 11 is the central panel of a triptych. Chapter 10 establishes the heavenly conflict behind the earthly events — the</w:t>
      </w:r>
      <w:r>
        <w:t xml:space="preserve"> </w:t>
      </w:r>
      <w:r>
        <w:t xml:space="preserve">“prince of Persia”</w:t>
      </w:r>
      <w:r>
        <w:t xml:space="preserve"> </w:t>
      </w:r>
      <w:r>
        <w:t xml:space="preserve">and the</w:t>
      </w:r>
      <w:r>
        <w:t xml:space="preserve"> </w:t>
      </w:r>
      <w:r>
        <w:t xml:space="preserve">“prince of Greece”</w:t>
      </w:r>
      <w:r>
        <w:t xml:space="preserve"> </w:t>
      </w:r>
      <w:r>
        <w:t xml:space="preserve">are the supernatural powers behind the historical kings, and Gabriel has been engaged in battle to deliver this revelation. Chapter 12 provides the resurrection hope that is the chapter’s final answer to suffering and martyrdom. Preaching Daniel 11 without at least noting the heavenly-conflict framing of chapter 10 and the resurrection anchor of chapter 12 leaves the chapter’s full claim incomplete. The people who fall by sword and flame in verses 33–35 are not ultimately explained by</w:t>
      </w:r>
      <w:r>
        <w:t xml:space="preserve"> </w:t>
      </w:r>
      <w:r>
        <w:t xml:space="preserve">“the appointed time”</w:t>
      </w:r>
      <w:r>
        <w:t xml:space="preserve"> </w:t>
      </w:r>
      <w:r>
        <w:t xml:space="preserve">alone — they are explained by the awakening to everlasting life in 12:2.</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2026-07-14T21:06:36Z</dcterms:created>
  <dcterms:modified xsi:type="dcterms:W3CDTF">2026-07-14T21:06:36Z</dcterms:modified>
</cp:coreProperties>
</file>

<file path=docProps/custom.xml><?xml version="1.0" encoding="utf-8"?>
<Properties xmlns="http://schemas.openxmlformats.org/officeDocument/2006/custom-properties" xmlns:vt="http://schemas.openxmlformats.org/officeDocument/2006/docPropsVTypes"/>
</file>